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D2" w:rsidRDefault="00C568D2" w:rsidP="004C1487"/>
    <w:p w:rsidR="004C1487" w:rsidRPr="00C568D2" w:rsidRDefault="004C1487" w:rsidP="004C1487">
      <w:pPr>
        <w:rPr>
          <w:sz w:val="20"/>
          <w:szCs w:val="20"/>
        </w:rPr>
      </w:pPr>
      <w:r w:rsidRPr="00C568D2">
        <w:rPr>
          <w:sz w:val="20"/>
          <w:szCs w:val="20"/>
        </w:rPr>
        <w:t>Утвержден</w:t>
      </w:r>
    </w:p>
    <w:p w:rsidR="004C1487" w:rsidRPr="00C568D2" w:rsidRDefault="004C1487" w:rsidP="004C1487">
      <w:pPr>
        <w:rPr>
          <w:sz w:val="20"/>
          <w:szCs w:val="20"/>
        </w:rPr>
      </w:pPr>
      <w:r w:rsidRPr="00C568D2">
        <w:rPr>
          <w:sz w:val="20"/>
          <w:szCs w:val="20"/>
        </w:rPr>
        <w:t xml:space="preserve"> постановлением администрации</w:t>
      </w:r>
    </w:p>
    <w:p w:rsidR="004C1487" w:rsidRPr="00C568D2" w:rsidRDefault="004C1487" w:rsidP="004C1487">
      <w:pPr>
        <w:rPr>
          <w:sz w:val="20"/>
          <w:szCs w:val="20"/>
        </w:rPr>
      </w:pPr>
      <w:r w:rsidRPr="00C568D2">
        <w:rPr>
          <w:sz w:val="20"/>
          <w:szCs w:val="20"/>
        </w:rPr>
        <w:t>Беломорского муниципального округа</w:t>
      </w:r>
    </w:p>
    <w:p w:rsidR="004C1487" w:rsidRPr="00C568D2" w:rsidRDefault="00C568D2" w:rsidP="004C1487">
      <w:pPr>
        <w:rPr>
          <w:sz w:val="20"/>
          <w:szCs w:val="20"/>
        </w:rPr>
      </w:pPr>
      <w:r w:rsidRPr="00C568D2">
        <w:rPr>
          <w:sz w:val="20"/>
          <w:szCs w:val="20"/>
        </w:rPr>
        <w:t>от 30</w:t>
      </w:r>
      <w:r w:rsidR="004C1487" w:rsidRPr="00C568D2">
        <w:rPr>
          <w:sz w:val="20"/>
          <w:szCs w:val="20"/>
        </w:rPr>
        <w:t>.</w:t>
      </w:r>
      <w:r w:rsidR="00171953">
        <w:rPr>
          <w:sz w:val="20"/>
          <w:szCs w:val="20"/>
        </w:rPr>
        <w:t xml:space="preserve">09.2025 года № </w:t>
      </w:r>
      <w:r w:rsidRPr="00C568D2">
        <w:rPr>
          <w:sz w:val="20"/>
          <w:szCs w:val="20"/>
        </w:rPr>
        <w:t>909</w:t>
      </w:r>
    </w:p>
    <w:p w:rsidR="00A71139" w:rsidRPr="00C568D2" w:rsidRDefault="00C73BA0" w:rsidP="004C1487">
      <w:pPr>
        <w:rPr>
          <w:sz w:val="20"/>
          <w:szCs w:val="20"/>
        </w:rPr>
      </w:pPr>
      <w:r w:rsidRPr="00C568D2">
        <w:rPr>
          <w:sz w:val="20"/>
          <w:szCs w:val="20"/>
        </w:rPr>
        <w:t xml:space="preserve">Приложение </w:t>
      </w:r>
      <w:r w:rsidR="002545F0" w:rsidRPr="00C568D2">
        <w:rPr>
          <w:sz w:val="20"/>
          <w:szCs w:val="20"/>
        </w:rPr>
        <w:t>9</w:t>
      </w:r>
    </w:p>
    <w:p w:rsidR="004C1487" w:rsidRPr="00C568D2" w:rsidRDefault="004C1487" w:rsidP="004C1487">
      <w:pPr>
        <w:spacing w:line="288" w:lineRule="auto"/>
        <w:rPr>
          <w:b/>
          <w:bCs/>
          <w:sz w:val="20"/>
          <w:szCs w:val="20"/>
        </w:rPr>
      </w:pPr>
    </w:p>
    <w:p w:rsidR="00133C12" w:rsidRDefault="00133C12" w:rsidP="004C1487">
      <w:pPr>
        <w:spacing w:line="288" w:lineRule="auto"/>
        <w:rPr>
          <w:b/>
          <w:bCs/>
        </w:rPr>
      </w:pPr>
    </w:p>
    <w:p w:rsidR="002545F0" w:rsidRPr="00C568D2" w:rsidRDefault="002545F0" w:rsidP="00C568D2">
      <w:pPr>
        <w:jc w:val="center"/>
        <w:rPr>
          <w:b/>
        </w:rPr>
      </w:pPr>
      <w:r w:rsidRPr="00C568D2">
        <w:rPr>
          <w:b/>
        </w:rPr>
        <w:t>Порядок</w:t>
      </w:r>
    </w:p>
    <w:p w:rsidR="00C568D2" w:rsidRPr="00C568D2" w:rsidRDefault="002545F0" w:rsidP="00C568D2">
      <w:pPr>
        <w:jc w:val="center"/>
        <w:rPr>
          <w:b/>
        </w:rPr>
      </w:pPr>
      <w:r w:rsidRPr="00C568D2">
        <w:rPr>
          <w:b/>
        </w:rPr>
        <w:t xml:space="preserve">аккумулирования и расходования безвозмездных поступлений от физических </w:t>
      </w:r>
    </w:p>
    <w:p w:rsidR="00C568D2" w:rsidRPr="00C568D2" w:rsidRDefault="002545F0" w:rsidP="00C568D2">
      <w:pPr>
        <w:jc w:val="center"/>
        <w:rPr>
          <w:b/>
        </w:rPr>
      </w:pPr>
      <w:r w:rsidRPr="00C568D2">
        <w:rPr>
          <w:b/>
        </w:rPr>
        <w:t xml:space="preserve">и юридических лиц, направляемых на выполнение минимального и </w:t>
      </w:r>
    </w:p>
    <w:p w:rsidR="002545F0" w:rsidRPr="00C568D2" w:rsidRDefault="002545F0" w:rsidP="00C568D2">
      <w:pPr>
        <w:jc w:val="center"/>
        <w:rPr>
          <w:b/>
        </w:rPr>
      </w:pPr>
      <w:r w:rsidRPr="00C568D2">
        <w:rPr>
          <w:b/>
        </w:rPr>
        <w:t>дополнительного перечней работ по благоустройству</w:t>
      </w:r>
    </w:p>
    <w:p w:rsidR="002545F0" w:rsidRPr="00AA4095" w:rsidRDefault="002545F0" w:rsidP="002545F0">
      <w:pPr>
        <w:jc w:val="center"/>
      </w:pPr>
    </w:p>
    <w:p w:rsidR="002545F0" w:rsidRPr="00C568D2" w:rsidRDefault="002545F0" w:rsidP="00C568D2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1.</w:t>
      </w:r>
      <w:r w:rsidRPr="00C568D2">
        <w:rPr>
          <w:lang w:eastAsia="ar-SA"/>
        </w:rPr>
        <w:tab/>
        <w:t xml:space="preserve">Настоящий Порядок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минимального и (или) дополнительного перечня работ по благоустройству дворовых территорий населённого пункта в рамках </w:t>
      </w:r>
      <w:r w:rsidRPr="00C568D2">
        <w:t>муниципальной программы "Формирование современной городской среды на территории Беломорского муниципального округа"</w:t>
      </w:r>
      <w:r w:rsidRPr="00C568D2">
        <w:rPr>
          <w:lang w:eastAsia="ar-SA"/>
        </w:rPr>
        <w:t xml:space="preserve"> (далее – муниципальная программа), механизм контроля за их расходованием.</w:t>
      </w:r>
    </w:p>
    <w:p w:rsidR="002545F0" w:rsidRPr="00C568D2" w:rsidRDefault="002545F0" w:rsidP="00C568D2">
      <w:pPr>
        <w:widowControl w:val="0"/>
        <w:tabs>
          <w:tab w:val="left" w:pos="709"/>
          <w:tab w:val="left" w:pos="993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2.</w:t>
      </w:r>
      <w:r w:rsidRPr="00C568D2">
        <w:rPr>
          <w:lang w:eastAsia="ar-SA"/>
        </w:rPr>
        <w:tab/>
        <w:t>В целях реализации настоящего Порядка используются следующие понятия:</w:t>
      </w:r>
    </w:p>
    <w:p w:rsidR="002545F0" w:rsidRPr="00C568D2" w:rsidRDefault="002545F0" w:rsidP="00C568D2">
      <w:pPr>
        <w:tabs>
          <w:tab w:val="left" w:pos="993"/>
          <w:tab w:val="left" w:pos="1843"/>
        </w:tabs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минимальный перечень работ – установленный муниципальной программой перечень работ по благоустройству дворовой территории;</w:t>
      </w:r>
    </w:p>
    <w:p w:rsidR="002545F0" w:rsidRPr="00C568D2" w:rsidRDefault="002545F0" w:rsidP="00C568D2">
      <w:pPr>
        <w:tabs>
          <w:tab w:val="left" w:pos="993"/>
          <w:tab w:val="left" w:pos="1843"/>
        </w:tabs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дополнительный перечень работ – установленный муниципальной программой перечень работ по благоустройству дворовой территории;</w:t>
      </w:r>
    </w:p>
    <w:p w:rsidR="002545F0" w:rsidRPr="00C568D2" w:rsidRDefault="002545F0" w:rsidP="00C568D2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т</w:t>
      </w:r>
      <w:r w:rsidRPr="00C568D2">
        <w:rPr>
          <w:shd w:val="clear" w:color="auto" w:fill="FFFFFF"/>
          <w:lang w:eastAsia="ar-SA"/>
        </w:rPr>
        <w:t xml:space="preserve">рудовое участие – добровольная безвозмездная трудовая деятельность заинтересованных лиц, имеющая социально полезную направленность, </w:t>
      </w:r>
      <w:r w:rsidRPr="00C568D2">
        <w:rPr>
          <w:lang w:eastAsia="ar-SA"/>
        </w:rPr>
        <w:t>не требующая специальной квалификации</w:t>
      </w:r>
      <w:r w:rsidRPr="00C568D2">
        <w:rPr>
          <w:shd w:val="clear" w:color="auto" w:fill="FFFFFF"/>
          <w:lang w:eastAsia="ar-SA"/>
        </w:rPr>
        <w:t xml:space="preserve"> и выполняемая в качестве</w:t>
      </w:r>
      <w:r w:rsidRPr="00C568D2">
        <w:rPr>
          <w:lang w:eastAsia="ar-SA"/>
        </w:rPr>
        <w:t xml:space="preserve"> трудового участия заинтересованных лиц при осуществлении видов работ из дополнительного перечня работ по благоустройству дворовых территорий;</w:t>
      </w:r>
    </w:p>
    <w:p w:rsidR="002545F0" w:rsidRPr="00C568D2" w:rsidRDefault="002545F0" w:rsidP="00C568D2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 xml:space="preserve">Финансовое участие заинтересованных лиц в реализации мероприятий по благоустройству дворовых территорий в рамках дополнительного перечня работ по благоустройству.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работ. Такое условие распространяется на дворовые территории, включенные в соответствующую программу после вступления в силу постановления Правительства Российской Федерации от 9 февраля </w:t>
      </w:r>
      <w:smartTag w:uri="urn:schemas-microsoft-com:office:smarttags" w:element="metricconverter">
        <w:smartTagPr>
          <w:attr w:name="ProductID" w:val="2019 г"/>
        </w:smartTagPr>
        <w:r w:rsidRPr="00C568D2">
          <w:rPr>
            <w:lang w:eastAsia="ar-SA"/>
          </w:rPr>
          <w:t>2019 г</w:t>
        </w:r>
      </w:smartTag>
      <w:r w:rsidRPr="00C568D2">
        <w:rPr>
          <w:lang w:eastAsia="ar-SA"/>
        </w:rPr>
        <w:t>. N 106 "О внесении изменений в приложение № 15 к государственной программе Российской Федерации "Обеспечение доступным и комфортным жильем и коммунальными услугами граждан Российской Федерации". До вступления в силу вышеуказанного постановления размер безвозмездных поступлений от физических и(или) юридических лиц, предусмотренных на софинансирование муниципальной программы, составляет не менее 3 процентов от объема средств из бюджета Республики Карелия, подлежащих направлению на софинансирование мероприятий из дополнительного перечня работ по благоустройству;</w:t>
      </w:r>
    </w:p>
    <w:p w:rsidR="002545F0" w:rsidRPr="00C568D2" w:rsidRDefault="002545F0" w:rsidP="00C568D2">
      <w:pPr>
        <w:widowControl w:val="0"/>
        <w:tabs>
          <w:tab w:val="left" w:pos="709"/>
          <w:tab w:val="left" w:pos="993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органы управления многоквартирными домами – организации, осуществляющие управление многоквартирными домами (управляющие организации, ТСН, ЖСК, ЖЭК и др.);</w:t>
      </w:r>
    </w:p>
    <w:p w:rsidR="002545F0" w:rsidRPr="00C568D2" w:rsidRDefault="002545F0" w:rsidP="00C568D2">
      <w:pPr>
        <w:widowControl w:val="0"/>
        <w:tabs>
          <w:tab w:val="left" w:pos="709"/>
          <w:tab w:val="left" w:pos="993"/>
          <w:tab w:val="left" w:pos="1418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 xml:space="preserve">общественная комиссия – комиссия, создаваемая в соответствии с постановлением администрации </w:t>
      </w:r>
      <w:r w:rsidR="00CF3C1A" w:rsidRPr="00C568D2">
        <w:rPr>
          <w:lang w:eastAsia="ar-SA"/>
        </w:rPr>
        <w:t>Беломорского муниципального округа</w:t>
      </w:r>
      <w:bookmarkStart w:id="0" w:name="_GoBack"/>
      <w:bookmarkEnd w:id="0"/>
      <w:r w:rsidR="00197EC6" w:rsidRPr="00C568D2">
        <w:rPr>
          <w:lang w:eastAsia="ar-SA"/>
        </w:rPr>
        <w:t xml:space="preserve"> </w:t>
      </w:r>
      <w:r w:rsidRPr="00C568D2">
        <w:rPr>
          <w:lang w:eastAsia="ar-SA"/>
        </w:rPr>
        <w:t>(далее – администрация) для рассмотрения и оценки предложений заинтересованных лиц, а также реализации контроля за реализацией муниципальной программы.</w:t>
      </w:r>
    </w:p>
    <w:p w:rsidR="00C568D2" w:rsidRDefault="00C568D2" w:rsidP="00C568D2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lang w:eastAsia="ar-SA"/>
        </w:rPr>
      </w:pPr>
    </w:p>
    <w:p w:rsidR="00C568D2" w:rsidRDefault="00C568D2" w:rsidP="00C568D2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  <w:rPr>
          <w:lang w:eastAsia="ar-SA"/>
        </w:rPr>
      </w:pPr>
    </w:p>
    <w:p w:rsidR="002545F0" w:rsidRPr="00C568D2" w:rsidRDefault="002545F0" w:rsidP="00C568D2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 w:rsidRPr="00C568D2">
        <w:rPr>
          <w:lang w:eastAsia="ar-SA"/>
        </w:rPr>
        <w:t>3.</w:t>
      </w:r>
      <w:r w:rsidRPr="00C568D2">
        <w:rPr>
          <w:lang w:eastAsia="ar-SA"/>
        </w:rPr>
        <w:tab/>
        <w:t>З</w:t>
      </w:r>
      <w:r w:rsidRPr="00C568D2">
        <w:t>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в форме трудового и (или) финансового участия.</w:t>
      </w:r>
    </w:p>
    <w:p w:rsidR="002545F0" w:rsidRPr="00C568D2" w:rsidRDefault="002545F0" w:rsidP="00C568D2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 w:rsidRPr="00C568D2">
        <w:t>4.</w:t>
      </w:r>
      <w:r w:rsidRPr="00C568D2">
        <w:tab/>
        <w:t xml:space="preserve">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</w:t>
      </w:r>
    </w:p>
    <w:p w:rsidR="002545F0" w:rsidRPr="00C568D2" w:rsidRDefault="002545F0" w:rsidP="00C568D2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 w:rsidRPr="00C568D2">
        <w:t>5.</w:t>
      </w:r>
      <w:r w:rsidRPr="00C568D2">
        <w:tab/>
        <w:t>Финансовое (трудовое)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2545F0" w:rsidRPr="00C568D2" w:rsidRDefault="002545F0" w:rsidP="00C568D2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 w:rsidRPr="00C568D2">
        <w:t>6.</w:t>
      </w:r>
      <w:r w:rsidRPr="00C568D2">
        <w:tab/>
        <w:t>Документы, подтверждающие форму участия заинтересованных лиц в реализации мероприятий по благоустройству, предусмотренных минимальным и (или) дополнительным перечнями, предоставляются в администрацию Беломорского муниципального округа.</w:t>
      </w:r>
    </w:p>
    <w:p w:rsidR="002545F0" w:rsidRPr="00C568D2" w:rsidRDefault="002545F0" w:rsidP="00C568D2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C568D2">
        <w:t xml:space="preserve"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установленном порядке, копия ведомости сбора средств с физических лиц, которые впоследствии также вносятся на счет, открытый в соответствии с настоящим Порядком. </w:t>
      </w:r>
    </w:p>
    <w:p w:rsidR="002545F0" w:rsidRPr="00C568D2" w:rsidRDefault="002545F0" w:rsidP="00C568D2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C568D2">
        <w:t>Документы, подтверждающие финансовое участие, представляются в администрацию не позднее 10 дней со дня перечисления денежных средств в установленном порядке.</w:t>
      </w:r>
    </w:p>
    <w:p w:rsidR="002545F0" w:rsidRPr="00C568D2" w:rsidRDefault="002545F0" w:rsidP="00C568D2">
      <w:pPr>
        <w:shd w:val="clear" w:color="auto" w:fill="FFFFFF"/>
        <w:tabs>
          <w:tab w:val="left" w:pos="993"/>
        </w:tabs>
        <w:ind w:firstLine="709"/>
        <w:jc w:val="both"/>
      </w:pPr>
      <w:r w:rsidRPr="00C568D2">
        <w:t>В качестве документов (материалов), подтверждающих трудовое участие, могут быть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домом, о проведении мероприятия с трудовым участием граждан. При этом рекомендуется в качестве приложения к такому отчету представлять фото-, видеоматериалы, подтверждающие проведение мероприятия с трудовым участием граждан.</w:t>
      </w:r>
    </w:p>
    <w:p w:rsidR="002545F0" w:rsidRPr="00C568D2" w:rsidRDefault="002545F0" w:rsidP="00C568D2">
      <w:pPr>
        <w:shd w:val="clear" w:color="auto" w:fill="FFFFFF"/>
        <w:tabs>
          <w:tab w:val="left" w:pos="993"/>
        </w:tabs>
        <w:ind w:firstLine="709"/>
        <w:jc w:val="both"/>
      </w:pPr>
      <w:r w:rsidRPr="00C568D2">
        <w:t>Документы, подтверждающие трудовое участие, представляются в администрацию не позднее 10 календарных дней со дня окончания работ, выполняемых заинтересованными лицами.</w:t>
      </w:r>
    </w:p>
    <w:p w:rsidR="002545F0" w:rsidRPr="00C568D2" w:rsidRDefault="002545F0" w:rsidP="00C568D2">
      <w:pPr>
        <w:widowControl w:val="0"/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</w:pPr>
      <w:r w:rsidRPr="00C568D2">
        <w:t>7.</w:t>
      </w:r>
      <w:r w:rsidRPr="00C568D2">
        <w:tab/>
        <w:t>Доля финансового участия заинтересованных лиц в реализации мероприятий по благоустройству дворовой территории в рамках дополнительного перечня работ (минимального перечня - в случае принятия такого решения) определяется как процент от объема средств из бюджета Республики Карелия, подлежащих направлению на софинансирование указанных работ.</w:t>
      </w:r>
    </w:p>
    <w:p w:rsidR="002545F0" w:rsidRPr="00C568D2" w:rsidRDefault="002545F0" w:rsidP="00C568D2">
      <w:pPr>
        <w:widowControl w:val="0"/>
        <w:shd w:val="clear" w:color="auto" w:fill="FFFFFF"/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  <w:r w:rsidRPr="00C568D2">
        <w:t>8.</w:t>
      </w:r>
      <w:r w:rsidRPr="00C568D2">
        <w:tab/>
        <w:t>Д</w:t>
      </w:r>
      <w:r w:rsidRPr="00C568D2">
        <w:rPr>
          <w:lang w:eastAsia="ar-SA"/>
        </w:rPr>
        <w:t xml:space="preserve">енежные средства заинтересованных лиц перечисляются на лицевые счета органов управления многоквартирными домами. </w:t>
      </w:r>
    </w:p>
    <w:p w:rsidR="002545F0" w:rsidRPr="00C568D2" w:rsidRDefault="002545F0" w:rsidP="00C568D2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C568D2">
        <w:t>Лицевой счет для перечисления средств заинтересованных лиц, направляемых для выполнения минимального и (или) дополнительного перечня работ, может быть открыт в российских кредитных организациях, величина собственных средств (капитала) которых составляет не менее двадцати миллиардов рублей, либо в органах казначейства.</w:t>
      </w:r>
    </w:p>
    <w:p w:rsidR="002545F0" w:rsidRPr="00C568D2" w:rsidRDefault="002545F0" w:rsidP="00C568D2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lang w:eastAsia="ar-SA"/>
        </w:rPr>
      </w:pPr>
      <w:r w:rsidRPr="00C568D2">
        <w:t>9.</w:t>
      </w:r>
      <w:r w:rsidRPr="00C568D2">
        <w:tab/>
        <w:t>П</w:t>
      </w:r>
      <w:r w:rsidRPr="00C568D2">
        <w:rPr>
          <w:lang w:eastAsia="ar-SA"/>
        </w:rPr>
        <w:t>осле утверждения дизайн-проекта общественной комиссией и его согласования с представителем заинтересованных лиц администрация заключает с органом управления многоквартирным домом соглашение, в котором указывается объект благоустройства, реквизиты для перечисления средств, порядок перечисления средств, а также реквизиты счета, на который подлежат возврату денежные средства заинтересованных лиц в случаях определенных соглашением (далее – соглашение о перечислении средств субсидий).</w:t>
      </w:r>
    </w:p>
    <w:p w:rsidR="002545F0" w:rsidRPr="00C568D2" w:rsidRDefault="002545F0" w:rsidP="00C568D2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Объем денежных средств, подлежащих перечислению заинтересованными лицами, определяется в соответствии с проектами благоустройства дворовых территорий, утвержденными общественной комиссией.</w:t>
      </w:r>
    </w:p>
    <w:p w:rsidR="002545F0" w:rsidRPr="00C568D2" w:rsidRDefault="002545F0" w:rsidP="00C568D2">
      <w:pPr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 w:rsidRPr="00C568D2">
        <w:rPr>
          <w:lang w:eastAsia="ar-SA"/>
        </w:rPr>
        <w:lastRenderedPageBreak/>
        <w:t xml:space="preserve">Фактический объем денежных средств, подлежащих перечислению заинтересованными лицами, может быть изменен </w:t>
      </w:r>
      <w:r w:rsidRPr="00C568D2">
        <w:t>с учетом стоимости фактически выполненных работ.</w:t>
      </w:r>
    </w:p>
    <w:p w:rsidR="002545F0" w:rsidRPr="00C568D2" w:rsidRDefault="002545F0" w:rsidP="00C568D2">
      <w:p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</w:pPr>
      <w:r w:rsidRPr="00C568D2">
        <w:t>10.</w:t>
      </w:r>
      <w:r w:rsidRPr="00C568D2">
        <w:tab/>
      </w:r>
      <w:r w:rsidRPr="00C568D2">
        <w:rPr>
          <w:lang w:eastAsia="ar-SA"/>
        </w:rPr>
        <w:t>Перечисление денежных средств заинтересованными лицами осуществляется в течение тридцати дней с момента подписания соглашения о перечислении средств субсидий.</w:t>
      </w:r>
    </w:p>
    <w:p w:rsidR="002545F0" w:rsidRPr="00C568D2" w:rsidRDefault="002545F0" w:rsidP="00C568D2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 xml:space="preserve">В случае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по благоустройству территории выполнению не подлежит. </w:t>
      </w:r>
    </w:p>
    <w:p w:rsidR="002545F0" w:rsidRPr="00C568D2" w:rsidRDefault="002545F0" w:rsidP="00C568D2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 xml:space="preserve">Перечень дворовых территорий, подлежащих благоустройству в рамках муниципальной программы,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муниципальной программой. </w:t>
      </w:r>
    </w:p>
    <w:p w:rsidR="002545F0" w:rsidRPr="00C568D2" w:rsidRDefault="002545F0" w:rsidP="00C568D2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11.</w:t>
      </w:r>
      <w:r w:rsidRPr="00C568D2">
        <w:rPr>
          <w:lang w:eastAsia="ar-SA"/>
        </w:rPr>
        <w:tab/>
        <w:t>Органы управления многоквартирными домами осуществляют учет поступающих от заинтересованных лиц денежных средств в разрезе многоквартирных домов, дворовые территории которых подлежат благоустройству. Органы управления многоквартирными домами представляют в администрацию документы, подтверждающие финансовое участие, в сроки в соответствии с пунктом 6 Порядка.</w:t>
      </w:r>
    </w:p>
    <w:p w:rsidR="002545F0" w:rsidRPr="00C568D2" w:rsidRDefault="002545F0" w:rsidP="00C568D2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12.</w:t>
      </w:r>
      <w:r w:rsidRPr="00C568D2">
        <w:rPr>
          <w:lang w:eastAsia="ar-SA"/>
        </w:rPr>
        <w:tab/>
        <w:t>Администрация обеспечивает ежемесячное опубликование на официальном сайте в информационно-телекоммуникационной сети «Интернет» данных, поступивших от органов управления многоквартирными домами в соответствии с пунктом 11 настоящего Порядка.</w:t>
      </w:r>
    </w:p>
    <w:p w:rsidR="002545F0" w:rsidRPr="00C568D2" w:rsidRDefault="002545F0" w:rsidP="00C568D2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13.</w:t>
      </w:r>
      <w:r w:rsidRPr="00C568D2">
        <w:rPr>
          <w:lang w:eastAsia="ar-SA"/>
        </w:rPr>
        <w:tab/>
        <w:t>Администрация ежемесячно обеспечивает направление данных, поступивших от органов управления многоквартирными домами в соответствии с пунктом 11 настоящего Порядка, в адрес общественной комиссии.</w:t>
      </w:r>
    </w:p>
    <w:p w:rsidR="002545F0" w:rsidRPr="00C568D2" w:rsidRDefault="002545F0" w:rsidP="00C568D2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14.</w:t>
      </w:r>
      <w:r w:rsidRPr="00C568D2">
        <w:rPr>
          <w:lang w:eastAsia="ar-SA"/>
        </w:rPr>
        <w:tab/>
        <w:t>Расходование аккумулированных денежных средств заинтересованных лиц осуществляется органами управления многоквартирными домами на финансирование минимального и (или) дополнительного перечня работ по благоустройству дворовых территорий в соответствии с проектами благоустройства дворовых территорий, утвержденными общественной комиссией.</w:t>
      </w:r>
    </w:p>
    <w:p w:rsidR="002545F0" w:rsidRPr="00C568D2" w:rsidRDefault="002545F0" w:rsidP="00C568D2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C568D2">
        <w:rPr>
          <w:lang w:eastAsia="ar-SA"/>
        </w:rPr>
        <w:t>15.</w:t>
      </w:r>
      <w:r w:rsidRPr="00C568D2">
        <w:rPr>
          <w:lang w:eastAsia="ar-SA"/>
        </w:rPr>
        <w:tab/>
        <w:t>Расходование денежных средств осуществляется путем заключения органами управления многоквартирными домами договоров с подрядными организациями.</w:t>
      </w:r>
    </w:p>
    <w:p w:rsidR="002545F0" w:rsidRPr="00C568D2" w:rsidRDefault="002545F0" w:rsidP="00C568D2">
      <w:pPr>
        <w:widowControl w:val="0"/>
        <w:tabs>
          <w:tab w:val="left" w:pos="993"/>
          <w:tab w:val="left" w:pos="1134"/>
        </w:tabs>
        <w:suppressAutoHyphens/>
        <w:autoSpaceDE w:val="0"/>
        <w:autoSpaceDN w:val="0"/>
        <w:adjustRightInd w:val="0"/>
        <w:ind w:firstLine="709"/>
        <w:jc w:val="both"/>
      </w:pPr>
      <w:r w:rsidRPr="00C568D2">
        <w:rPr>
          <w:lang w:eastAsia="ar-SA"/>
        </w:rPr>
        <w:t>16.</w:t>
      </w:r>
      <w:r w:rsidRPr="00C568D2">
        <w:rPr>
          <w:lang w:eastAsia="ar-SA"/>
        </w:rPr>
        <w:tab/>
        <w:t>Контроль за целевым расходованием аккумулированных денежных средств заинтересованных лиц осуществляется в соответствии с соглашением о перечислении средств субсидий.</w:t>
      </w:r>
    </w:p>
    <w:p w:rsidR="004C1487" w:rsidRPr="00C568D2" w:rsidRDefault="004C1487" w:rsidP="00C568D2">
      <w:pPr>
        <w:tabs>
          <w:tab w:val="left" w:pos="993"/>
        </w:tabs>
        <w:ind w:firstLine="709"/>
        <w:jc w:val="center"/>
        <w:rPr>
          <w:b/>
          <w:bCs/>
        </w:rPr>
      </w:pPr>
    </w:p>
    <w:sectPr w:rsidR="004C1487" w:rsidRPr="00C568D2" w:rsidSect="00C568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0753F"/>
    <w:rsid w:val="0000361B"/>
    <w:rsid w:val="00006A01"/>
    <w:rsid w:val="00030B2D"/>
    <w:rsid w:val="00032D6B"/>
    <w:rsid w:val="0006196F"/>
    <w:rsid w:val="00080F1A"/>
    <w:rsid w:val="000951C6"/>
    <w:rsid w:val="000D7DF7"/>
    <w:rsid w:val="00133C12"/>
    <w:rsid w:val="00137482"/>
    <w:rsid w:val="00137B85"/>
    <w:rsid w:val="0015219A"/>
    <w:rsid w:val="00167211"/>
    <w:rsid w:val="00171953"/>
    <w:rsid w:val="00171C35"/>
    <w:rsid w:val="00197EC6"/>
    <w:rsid w:val="001B2B85"/>
    <w:rsid w:val="001D7398"/>
    <w:rsid w:val="001D7ED7"/>
    <w:rsid w:val="001F3DBA"/>
    <w:rsid w:val="00230481"/>
    <w:rsid w:val="00241DB3"/>
    <w:rsid w:val="00244978"/>
    <w:rsid w:val="00250C7A"/>
    <w:rsid w:val="002545F0"/>
    <w:rsid w:val="00256E77"/>
    <w:rsid w:val="00270525"/>
    <w:rsid w:val="00291ED5"/>
    <w:rsid w:val="002943A3"/>
    <w:rsid w:val="00295207"/>
    <w:rsid w:val="002B2607"/>
    <w:rsid w:val="002E0FFE"/>
    <w:rsid w:val="002F2696"/>
    <w:rsid w:val="0030615D"/>
    <w:rsid w:val="0031552D"/>
    <w:rsid w:val="0033229E"/>
    <w:rsid w:val="0034057B"/>
    <w:rsid w:val="003511C5"/>
    <w:rsid w:val="0036001F"/>
    <w:rsid w:val="00363213"/>
    <w:rsid w:val="00372910"/>
    <w:rsid w:val="003816B4"/>
    <w:rsid w:val="00386AC5"/>
    <w:rsid w:val="003A2814"/>
    <w:rsid w:val="003B05E0"/>
    <w:rsid w:val="003D28AC"/>
    <w:rsid w:val="003E1629"/>
    <w:rsid w:val="003E6220"/>
    <w:rsid w:val="003F07C7"/>
    <w:rsid w:val="00404160"/>
    <w:rsid w:val="00416302"/>
    <w:rsid w:val="004439E6"/>
    <w:rsid w:val="0044447F"/>
    <w:rsid w:val="004525B6"/>
    <w:rsid w:val="004532CE"/>
    <w:rsid w:val="00471603"/>
    <w:rsid w:val="00486194"/>
    <w:rsid w:val="00487D39"/>
    <w:rsid w:val="00494946"/>
    <w:rsid w:val="004B10E5"/>
    <w:rsid w:val="004B39DB"/>
    <w:rsid w:val="004C1487"/>
    <w:rsid w:val="004C6DD9"/>
    <w:rsid w:val="004D4946"/>
    <w:rsid w:val="004F0572"/>
    <w:rsid w:val="005037A6"/>
    <w:rsid w:val="005052C8"/>
    <w:rsid w:val="00561BA0"/>
    <w:rsid w:val="00565DFA"/>
    <w:rsid w:val="005776BF"/>
    <w:rsid w:val="005A2A9E"/>
    <w:rsid w:val="005B7E98"/>
    <w:rsid w:val="005C5088"/>
    <w:rsid w:val="005C7A4C"/>
    <w:rsid w:val="005D61A0"/>
    <w:rsid w:val="005D6942"/>
    <w:rsid w:val="00605A92"/>
    <w:rsid w:val="00617C2B"/>
    <w:rsid w:val="006373DE"/>
    <w:rsid w:val="006532B6"/>
    <w:rsid w:val="00676198"/>
    <w:rsid w:val="00683862"/>
    <w:rsid w:val="00690EBE"/>
    <w:rsid w:val="0069118A"/>
    <w:rsid w:val="006A03C7"/>
    <w:rsid w:val="006B558B"/>
    <w:rsid w:val="006B777E"/>
    <w:rsid w:val="006C52EC"/>
    <w:rsid w:val="006D12F3"/>
    <w:rsid w:val="006D4099"/>
    <w:rsid w:val="006E5965"/>
    <w:rsid w:val="00732F3A"/>
    <w:rsid w:val="00745C93"/>
    <w:rsid w:val="007735D4"/>
    <w:rsid w:val="007779C1"/>
    <w:rsid w:val="00780FD1"/>
    <w:rsid w:val="00785EFD"/>
    <w:rsid w:val="007926A0"/>
    <w:rsid w:val="007A2658"/>
    <w:rsid w:val="007A4EE6"/>
    <w:rsid w:val="007D1F75"/>
    <w:rsid w:val="007D754E"/>
    <w:rsid w:val="007E53B3"/>
    <w:rsid w:val="0081712F"/>
    <w:rsid w:val="008522BB"/>
    <w:rsid w:val="00886629"/>
    <w:rsid w:val="00890E0B"/>
    <w:rsid w:val="00895078"/>
    <w:rsid w:val="00897564"/>
    <w:rsid w:val="008C7D47"/>
    <w:rsid w:val="008D4309"/>
    <w:rsid w:val="008E3BD3"/>
    <w:rsid w:val="008E5343"/>
    <w:rsid w:val="00901EE5"/>
    <w:rsid w:val="00902989"/>
    <w:rsid w:val="00911205"/>
    <w:rsid w:val="00924DD1"/>
    <w:rsid w:val="00955C58"/>
    <w:rsid w:val="00971482"/>
    <w:rsid w:val="00975E34"/>
    <w:rsid w:val="00977E45"/>
    <w:rsid w:val="00982FE2"/>
    <w:rsid w:val="00983059"/>
    <w:rsid w:val="009A2286"/>
    <w:rsid w:val="009A6F2D"/>
    <w:rsid w:val="009F4AC1"/>
    <w:rsid w:val="00A25FA5"/>
    <w:rsid w:val="00A346EC"/>
    <w:rsid w:val="00A34B04"/>
    <w:rsid w:val="00A4170B"/>
    <w:rsid w:val="00A43F05"/>
    <w:rsid w:val="00A517F9"/>
    <w:rsid w:val="00A652EC"/>
    <w:rsid w:val="00A67293"/>
    <w:rsid w:val="00A71139"/>
    <w:rsid w:val="00A72FCB"/>
    <w:rsid w:val="00A82E6C"/>
    <w:rsid w:val="00AA6132"/>
    <w:rsid w:val="00AB2C9B"/>
    <w:rsid w:val="00AD4F83"/>
    <w:rsid w:val="00AE4B53"/>
    <w:rsid w:val="00B17E1E"/>
    <w:rsid w:val="00B44790"/>
    <w:rsid w:val="00B47E83"/>
    <w:rsid w:val="00B671E6"/>
    <w:rsid w:val="00BA107D"/>
    <w:rsid w:val="00BA7FA9"/>
    <w:rsid w:val="00BE1242"/>
    <w:rsid w:val="00BE55AF"/>
    <w:rsid w:val="00BE6831"/>
    <w:rsid w:val="00BF1411"/>
    <w:rsid w:val="00BF403C"/>
    <w:rsid w:val="00C05A96"/>
    <w:rsid w:val="00C11100"/>
    <w:rsid w:val="00C12AB5"/>
    <w:rsid w:val="00C568D2"/>
    <w:rsid w:val="00C62315"/>
    <w:rsid w:val="00C623E2"/>
    <w:rsid w:val="00C64D3F"/>
    <w:rsid w:val="00C73BA0"/>
    <w:rsid w:val="00CA471E"/>
    <w:rsid w:val="00CC3932"/>
    <w:rsid w:val="00CC472E"/>
    <w:rsid w:val="00CC7482"/>
    <w:rsid w:val="00CD5FF9"/>
    <w:rsid w:val="00CD7545"/>
    <w:rsid w:val="00CF3C1A"/>
    <w:rsid w:val="00D02279"/>
    <w:rsid w:val="00D26044"/>
    <w:rsid w:val="00D31F3E"/>
    <w:rsid w:val="00D36F31"/>
    <w:rsid w:val="00D37C3E"/>
    <w:rsid w:val="00D41541"/>
    <w:rsid w:val="00D45CBD"/>
    <w:rsid w:val="00D51446"/>
    <w:rsid w:val="00D6043F"/>
    <w:rsid w:val="00D86BA6"/>
    <w:rsid w:val="00D95789"/>
    <w:rsid w:val="00DA4066"/>
    <w:rsid w:val="00DD185E"/>
    <w:rsid w:val="00DD3FFB"/>
    <w:rsid w:val="00DD52A1"/>
    <w:rsid w:val="00DE60D2"/>
    <w:rsid w:val="00DF6EA3"/>
    <w:rsid w:val="00E00B57"/>
    <w:rsid w:val="00E0753F"/>
    <w:rsid w:val="00E32621"/>
    <w:rsid w:val="00E526F8"/>
    <w:rsid w:val="00E632AA"/>
    <w:rsid w:val="00E66B0D"/>
    <w:rsid w:val="00E72A34"/>
    <w:rsid w:val="00E8130E"/>
    <w:rsid w:val="00E97E8A"/>
    <w:rsid w:val="00EA64EC"/>
    <w:rsid w:val="00EB037A"/>
    <w:rsid w:val="00EB34CA"/>
    <w:rsid w:val="00EB7D54"/>
    <w:rsid w:val="00ED0E69"/>
    <w:rsid w:val="00ED1B19"/>
    <w:rsid w:val="00ED232F"/>
    <w:rsid w:val="00EF0719"/>
    <w:rsid w:val="00EF7CC9"/>
    <w:rsid w:val="00F134DD"/>
    <w:rsid w:val="00F51454"/>
    <w:rsid w:val="00F546F4"/>
    <w:rsid w:val="00F74FAF"/>
    <w:rsid w:val="00F81E03"/>
    <w:rsid w:val="00F82A40"/>
    <w:rsid w:val="00F83B08"/>
    <w:rsid w:val="00F94F54"/>
    <w:rsid w:val="00FA5683"/>
    <w:rsid w:val="00FC455F"/>
    <w:rsid w:val="00FD1187"/>
    <w:rsid w:val="00FD14CF"/>
    <w:rsid w:val="00FD2706"/>
    <w:rsid w:val="00FF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F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118A"/>
    <w:pPr>
      <w:keepNext/>
      <w:keepLines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1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D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5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5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uiPriority w:val="99"/>
    <w:rsid w:val="00C62315"/>
    <w:pPr>
      <w:spacing w:before="280" w:after="280"/>
      <w:jc w:val="left"/>
    </w:pPr>
    <w:rPr>
      <w:rFonts w:ascii="Calibri" w:hAnsi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C62315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62315"/>
    <w:rPr>
      <w:color w:val="0000FF"/>
      <w:u w:val="single"/>
    </w:rPr>
  </w:style>
  <w:style w:type="paragraph" w:customStyle="1" w:styleId="ConsPlusNormal0">
    <w:name w:val="ConsPlusNormal"/>
    <w:link w:val="ConsPlusNormal1"/>
    <w:rsid w:val="00C62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7"/>
    <w:uiPriority w:val="99"/>
    <w:qFormat/>
    <w:rsid w:val="00C62315"/>
    <w:pPr>
      <w:ind w:left="720"/>
      <w:contextualSpacing/>
      <w:jc w:val="left"/>
    </w:pPr>
    <w:rPr>
      <w:rFonts w:eastAsiaTheme="minorEastAsia"/>
      <w:sz w:val="22"/>
      <w:szCs w:val="22"/>
    </w:rPr>
  </w:style>
  <w:style w:type="paragraph" w:styleId="a8">
    <w:name w:val="Body Text"/>
    <w:basedOn w:val="a"/>
    <w:link w:val="a9"/>
    <w:uiPriority w:val="1"/>
    <w:qFormat/>
    <w:rsid w:val="008E3BD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E3BD3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99"/>
    <w:locked/>
    <w:rsid w:val="00D51446"/>
    <w:rPr>
      <w:rFonts w:ascii="Times New Roman" w:eastAsiaTheme="minorEastAsia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41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404160"/>
    <w:pPr>
      <w:spacing w:before="100" w:beforeAutospacing="1" w:after="100" w:afterAutospacing="1"/>
      <w:jc w:val="left"/>
    </w:pPr>
  </w:style>
  <w:style w:type="character" w:customStyle="1" w:styleId="ConsPlusNormal1">
    <w:name w:val="ConsPlusNormal Знак"/>
    <w:link w:val="ConsPlusNormal0"/>
    <w:rsid w:val="00404160"/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38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2D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10pt">
    <w:name w:val="Основной текст (2) + 10 pt"/>
    <w:basedOn w:val="a0"/>
    <w:uiPriority w:val="99"/>
    <w:rsid w:val="00617C2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11">
    <w:name w:val="Абзац списка1"/>
    <w:basedOn w:val="a"/>
    <w:rsid w:val="0036001F"/>
    <w:pPr>
      <w:ind w:left="720"/>
      <w:contextualSpacing/>
      <w:jc w:val="left"/>
    </w:pPr>
  </w:style>
  <w:style w:type="character" w:customStyle="1" w:styleId="10">
    <w:name w:val="Заголовок 1 Знак"/>
    <w:basedOn w:val="a0"/>
    <w:link w:val="1"/>
    <w:uiPriority w:val="99"/>
    <w:rsid w:val="006911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DCCEF-8563-4645-A4F7-4077AA962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Приёмная главы</cp:lastModifiedBy>
  <cp:revision>147</cp:revision>
  <cp:lastPrinted>2025-02-17T15:12:00Z</cp:lastPrinted>
  <dcterms:created xsi:type="dcterms:W3CDTF">2021-11-29T09:17:00Z</dcterms:created>
  <dcterms:modified xsi:type="dcterms:W3CDTF">2025-10-01T06:33:00Z</dcterms:modified>
</cp:coreProperties>
</file>